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30" w:rsidRDefault="00C14930" w:rsidP="00C14930"/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2"/>
      </w:tblGrid>
      <w:tr w:rsidR="00C14930" w:rsidTr="00C1493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20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2006"/>
              <w:gridCol w:w="368"/>
            </w:tblGrid>
            <w:tr w:rsidR="00C14930">
              <w:trPr>
                <w:tblCellSpacing w:w="0" w:type="dxa"/>
                <w:jc w:val="center"/>
              </w:trPr>
              <w:tc>
                <w:tcPr>
                  <w:tcW w:w="375" w:type="dxa"/>
                  <w:hideMark/>
                </w:tcPr>
                <w:p w:rsidR="00C14930" w:rsidRDefault="00C14930">
                  <w:r>
                    <w:rPr>
                      <w:noProof/>
                    </w:rPr>
                    <w:drawing>
                      <wp:inline distT="0" distB="0" distL="0" distR="0">
                        <wp:extent cx="233680" cy="7878445"/>
                        <wp:effectExtent l="0" t="0" r="0" b="8255"/>
                        <wp:docPr id="5" name="Resim 5" descr="Açıklama: Açıklama: cid:ewaf1c7c43cc00269c00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Açıklama: Açıklama: cid:ewaf1c7c43cc00269c000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7878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99"/>
                    <w:gridCol w:w="7"/>
                  </w:tblGrid>
                  <w:tr w:rsidR="00C14930">
                    <w:trPr>
                      <w:tblCellSpacing w:w="0" w:type="dxa"/>
                    </w:trPr>
                    <w:tc>
                      <w:tcPr>
                        <w:tcW w:w="11250" w:type="dxa"/>
                        <w:gridSpan w:val="2"/>
                        <w:vAlign w:val="bottom"/>
                        <w:hideMark/>
                      </w:tcPr>
                      <w:p w:rsidR="00C14930" w:rsidRDefault="00C14930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If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are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unable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view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e-mail,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use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following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link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copy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it in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your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browser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A2A2A2"/>
                            <w:sz w:val="20"/>
                            <w:szCs w:val="20"/>
                          </w:rPr>
                          <w:t>.</w:t>
                        </w:r>
                        <w:r>
                          <w:br/>
                        </w:r>
                        <w:hyperlink r:id="rId7" w:history="1">
                          <w:r>
                            <w:rPr>
                              <w:rStyle w:val="Kpr"/>
                              <w:rFonts w:ascii="Arial" w:hAnsi="Arial" w:cs="Arial"/>
                              <w:color w:val="A2A2A2"/>
                              <w:sz w:val="20"/>
                              <w:szCs w:val="20"/>
                              <w:u w:val="single"/>
                            </w:rPr>
                            <w:t>http://www.news.glacademy.com/a.php?sid=3hx0q.cs56i3,f=1,u=4f1a2e651bd249c406ad5b9de36f24af,n=3hx0q.cs56i3,p=1</w:t>
                          </w:r>
                        </w:hyperlink>
                        <w:r>
                          <w:rPr>
                            <w:rFonts w:ascii="Arial" w:hAnsi="Arial" w:cs="Arial"/>
                            <w:noProof/>
                            <w:color w:val="484848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623810" cy="765810"/>
                              <wp:effectExtent l="0" t="0" r="0" b="0"/>
                              <wp:docPr id="4" name="Resim 4" descr="Açıklama: Açıklama: GL Academy News">
                                <a:hlinkClick xmlns:a="http://schemas.openxmlformats.org/drawingml/2006/main" r:id="rId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2" descr="Açıklama: Açıklama: GL Academy New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3810" cy="765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14930">
                    <w:trPr>
                      <w:trHeight w:val="6300"/>
                      <w:tblCellSpacing w:w="0" w:type="dxa"/>
                    </w:trPr>
                    <w:tc>
                      <w:tcPr>
                        <w:tcW w:w="11250" w:type="dxa"/>
                        <w:tcBorders>
                          <w:top w:val="nil"/>
                          <w:left w:val="single" w:sz="8" w:space="0" w:color="BDBDBD"/>
                          <w:bottom w:val="nil"/>
                          <w:right w:val="single" w:sz="8" w:space="0" w:color="8D8D8D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1659"/>
                          <w:gridCol w:w="150"/>
                        </w:tblGrid>
                        <w:tr w:rsidR="00C14930">
                          <w:trPr>
                            <w:tblCellSpacing w:w="0" w:type="dxa"/>
                          </w:trPr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C14930" w:rsidRDefault="00C14930">
                              <w:r>
                                <w:t>  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C14930" w:rsidRDefault="00C14930">
                              <w:pPr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ASASOGLU,</w:t>
                              </w:r>
                            </w:p>
                            <w:p w:rsidR="00C14930" w:rsidRDefault="00C14930">
                              <w:pPr>
                                <w:pStyle w:val="NormalWeb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pleased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introduce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upcoming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seminars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GL Academy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Istanbul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Vetting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Inspections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course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proofErr w:type="gram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28-29</w:t>
                              </w:r>
                              <w:proofErr w:type="gram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August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understand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various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aspects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vetting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process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turn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current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constraints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business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opportunities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Implementation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an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Environmental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Management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according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ISO 14001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Shipping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course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proofErr w:type="gram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06-07</w:t>
                              </w:r>
                              <w:proofErr w:type="gram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September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-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when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shipping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strive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be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better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competitors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really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take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over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responsibility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protecting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globe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customers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society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know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, an ISO 14001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helps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through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decreasing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environmental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impacts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Synergies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existing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ISM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taken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account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 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Application &amp;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Implementation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a SEEMP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proofErr w:type="gram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11-12</w:t>
                              </w:r>
                              <w:proofErr w:type="gram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September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-since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a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Ship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Energy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Efficiency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Management Plan (SEEMP)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January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2013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ship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owners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asked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take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regarding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energy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efficiency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Gain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knowledge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that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enable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create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 SEEMP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vessel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corresponding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measures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Take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opportunity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register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today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looking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forward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welcoming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C14930" w:rsidRDefault="00C14930">
                              <w:pPr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59"/>
                              </w:tblGrid>
                              <w:tr w:rsidR="00C14930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3F1FF"/>
                                    <w:tcMar>
                                      <w:top w:w="0" w:type="dxa"/>
                                      <w:left w:w="19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14930" w:rsidRDefault="00C1493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Ispections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28-29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August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2012 - 09:00-17:00h -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Marriott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Hotel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Asia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Istanbul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1493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C14930" w:rsidRDefault="00C14930">
                                    <w:pPr>
                                      <w:spacing w:before="100" w:beforeAutospacing="1" w:after="100" w:afterAutospacing="1"/>
                                      <w:ind w:left="18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Content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than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two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decades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vessel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process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has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completely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changed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oil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market.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Almost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trading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operators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around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world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have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adopted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as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pre-selection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process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vessels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offered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chartering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measuring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compliance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Minimum Marine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Safety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Criteria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Moreover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process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developing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oil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gas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chemical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vessels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dry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bulk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carriers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onboard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physical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inspections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comprehensive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operators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Safety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Management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assessment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via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TMSA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Following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description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fundamental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concepts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terms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applicable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risk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pertaining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Vessel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process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itself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presented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under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different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perspectives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full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comprehension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objectives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how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achieve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inspections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PSC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TMSA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analyzed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key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players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both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onboard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ashore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tools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prepare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proactively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respond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various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issues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related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controls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 xml:space="preserve">Course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objective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provide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empower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Owners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/Terminal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Operators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those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involved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process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greater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knowledge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Emphasis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Reducing Risk in Ship Vetting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Vetting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Inspection – 4 step approach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PSC and Third Party Vetting Programs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Who should attend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Management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Techn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Director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(CTO),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Director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(CEO)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Inspection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Superintendent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Fleet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Manager,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Chief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Operating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Officer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CSO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Quality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/ ISM: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Quality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Manager,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Internal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Designated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Person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Assistance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On Board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Personnel: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Nautical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Officers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Engineers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Rating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SSO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Your investment: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600 Euro (VAT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excl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.)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Deadline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registration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:   </w:t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22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August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2012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 xml:space="preserve">A   </w:t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15 %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discount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applied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two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participants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C14930" w:rsidRDefault="00C1493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59"/>
                              </w:tblGrid>
                              <w:tr w:rsidR="00C14930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3F1FF"/>
                                    <w:tcMar>
                                      <w:top w:w="0" w:type="dxa"/>
                                      <w:left w:w="19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14930" w:rsidRDefault="00C1493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Implementation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of an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Management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according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ISO 14001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06-07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September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2012 - 09:00-17:00h -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Marriott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Hotel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Asia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Istanbul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1493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C14930" w:rsidRDefault="00C14930">
                                    <w:pPr>
                                      <w:spacing w:before="100" w:beforeAutospacing="1" w:after="100" w:afterAutospacing="1"/>
                                      <w:ind w:left="18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Content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Due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global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warming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change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climate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limited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oil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resources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earth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society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has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developed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awareness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Although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series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legal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available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industry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can do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support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positive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development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helps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optimize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operations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further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considerations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customers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ask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certificate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according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ISO 14001.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This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provides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detailed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information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about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standard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ISO 14001.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acquaint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yourself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methods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on board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ISO 14001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ISM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Code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identify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synergies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existing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Safety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Management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If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Manager,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Designated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Person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quality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representative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superintendent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learn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how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integrate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existing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Safety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Management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according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ISM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Code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Typical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problems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arising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during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improvement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addressed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interaction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trainer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participants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own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experience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various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areas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industry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facilitates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identification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suitable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solutions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Throughout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seminar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guidedby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trainers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who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well-experienced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auditing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 xml:space="preserve">Course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objective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understand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standard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ISO 14001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know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how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ashore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on board.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can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integrate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existing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Safety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Management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prepare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an ISO 14001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certification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Emphasis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Requirements of an environmental management system acc. to the ISO 14001:2004 standard in detail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Identification of environmental aspects and objectives and setting up a program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Interfaces with ISM and quality management and the certification process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Who should attend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Management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Techn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Director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(CTO),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Director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(CEO), Assistance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Inspection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Superintendent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Fleet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Manager,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Chief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Operating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Officer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Assistance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Quality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/ ISM: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Quality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Manager,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Designated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Person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Assistance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 xml:space="preserve"> 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On Board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Personnel: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Nautical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Officers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Engineers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lang w:val="en-GB"/>
                                      </w:rPr>
                                      <w:t>Your investment: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600 Euro (VAT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excl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.)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Deadline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registration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:   </w:t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31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August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2012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 xml:space="preserve">A   </w:t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15 %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discount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applied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two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participants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C14930" w:rsidRDefault="00C1493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59"/>
                              </w:tblGrid>
                              <w:tr w:rsidR="00C14930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3F1FF"/>
                                    <w:tcMar>
                                      <w:top w:w="0" w:type="dxa"/>
                                      <w:left w:w="19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14930" w:rsidRDefault="00C1493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Application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>Implementation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t xml:space="preserve"> of a SEEMP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11-12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September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2012 - 09:00-17:00h -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Marriott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 Hotel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Asia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</w:rPr>
                                      <w:t>Istanbul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1493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C14930" w:rsidRDefault="00C14930">
                                    <w:pPr>
                                      <w:spacing w:before="100" w:beforeAutospacing="1" w:after="100" w:afterAutospacing="1"/>
                                      <w:ind w:left="18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Content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Energy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Efficiency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Management Plan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fosters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structured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codified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processes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aim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increasing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vessel’s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energy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efficiency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Rising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fuel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prices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stricter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legislation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make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energy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efficient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operation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key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topic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most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operators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today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providesin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depth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knowledge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understanding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application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a </w:t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SEEMP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highlighting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benefits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improved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operations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stages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effective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use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fuels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on board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vessel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seminar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based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IMO model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“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Energy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Efficient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Operation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”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therefore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includes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topics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application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a </w:t>
                                    </w:r>
                                    <w:r>
                                      <w:rPr>
                                        <w:rStyle w:val="Gl"/>
                                        <w:color w:val="000000"/>
                                      </w:rPr>
                                      <w:t>SEEMP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  <w:t xml:space="preserve">Through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use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interactive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learning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methods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initiate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improve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such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plan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interaction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trainer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participants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own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experiences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provides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ideas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best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practices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briefly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introduces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existing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regulatory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market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environment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elaborates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detail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aspects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drafting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SEEMP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using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practical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exercises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case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studies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This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course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has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been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developed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cooperation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FutureShip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a GL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that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offers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specialised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consultingservices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non-maritime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industries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fields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Strategy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Design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Operations,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Compliance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 xml:space="preserve">Course </w:t>
                                    </w:r>
                                    <w:proofErr w:type="spellStart"/>
                                    <w:r>
                                      <w:rPr>
                                        <w:rStyle w:val="Gl"/>
                                        <w:color w:val="00618C"/>
                                      </w:rPr>
                                      <w:t>objective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acquire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solid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understanding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requirements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a SEEMP as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recommended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IMO.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knowledge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gained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enable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create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a SEEMP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vessel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implement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corresponding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measures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within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framework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of a SEEMP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facilitate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dialogue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assorted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specialists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Emphasis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Market and regulatory environment of a SEEMP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Calculating an EEOI – Advantages and Limits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ymbol" w:hAnsi="Symbol"/>
                                        <w:color w:val="333399"/>
                                        <w:sz w:val="22"/>
                                        <w:szCs w:val="22"/>
                                        <w:lang w:val="en-GB"/>
                                      </w:rPr>
                                      <w:t>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Phases of a SEEMP – Planning, Implementation, Monitoring, Self-evaluation and Improvement and creating a SEEMP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18C"/>
                                        <w:lang w:val="en-GB"/>
                                      </w:rPr>
                                      <w:t>Who should attend</w:t>
                                    </w:r>
                                    <w:r>
                                      <w:rPr>
                                        <w:color w:val="00000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Shipping Companies: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Management: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Technical Director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Inspections: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Superintendent, Fleet Manager; Chief Operating Officer, Chief Engineer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On Board Personnel: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Masters, Nautical Officers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sz w:val="20"/>
                                        <w:szCs w:val="20"/>
                                        <w:lang w:val="en-GB"/>
                                      </w:rPr>
                                      <w:t>Your investment: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600 Euro (VAT excl.)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618C"/>
                                        <w:sz w:val="20"/>
                                        <w:szCs w:val="20"/>
                                        <w:lang w:val="en-GB"/>
                                      </w:rPr>
                                      <w:t>Deadline for registration:   </w:t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05 August 2012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br/>
                                      <w:t xml:space="preserve">A   </w:t>
                                    </w:r>
                                    <w:r>
                                      <w:rPr>
                                        <w:rStyle w:val="Gl"/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GB"/>
                                      </w:rPr>
                                      <w:t>15 % discount will be applied for two participants</w:t>
                                    </w:r>
                                  </w:p>
                                </w:tc>
                              </w:tr>
                            </w:tbl>
                            <w:p w:rsidR="00C14930" w:rsidRDefault="00C1493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C14930" w:rsidRDefault="00C14930">
                              <w:pPr>
                                <w:shd w:val="clear" w:color="auto" w:fill="E3F1FF"/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27"/>
                                  <w:szCs w:val="27"/>
                                  <w:u w:val="single"/>
                                </w:rPr>
                                <w:t>OTHER UPCOMING SEMINARS</w:t>
                              </w:r>
                            </w:p>
                            <w:tbl>
                              <w:tblPr>
                                <w:tblW w:w="1008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20"/>
                                <w:gridCol w:w="4860"/>
                              </w:tblGrid>
                              <w:tr w:rsidR="00C14930">
                                <w:tc>
                                  <w:tcPr>
                                    <w:tcW w:w="522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C14930" w:rsidRDefault="00C14930">
                                    <w:pPr>
                                      <w:spacing w:before="100" w:beforeAutospacing="1" w:after="100" w:afterAutospacing="1"/>
                                      <w:ind w:left="180"/>
                                    </w:pPr>
                                    <w:hyperlink r:id="rId11" w:history="1"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Handling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and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Transport of Dangerous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Goods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(IMDG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Code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Training)</w:t>
                                      </w:r>
                                    </w:hyperlink>
                                    <w:r>
                                      <w:t xml:space="preserve"> </w:t>
                                    </w:r>
                                    <w:r>
                                      <w:br/>
                                    </w:r>
                                    <w:proofErr w:type="gramStart"/>
                                    <w:r>
                                      <w:t>25-26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September</w:t>
                                    </w:r>
                                    <w:proofErr w:type="spellEnd"/>
                                    <w:r>
                                      <w:t xml:space="preserve"> 2012 </w:t>
                                    </w:r>
                                    <w:r>
                                      <w:br/>
                                    </w:r>
                                    <w:proofErr w:type="spellStart"/>
                                    <w:r>
                                      <w:t>Marriott</w:t>
                                    </w:r>
                                    <w:proofErr w:type="spellEnd"/>
                                    <w:r>
                                      <w:t xml:space="preserve"> Hotel </w:t>
                                    </w:r>
                                    <w:proofErr w:type="spellStart"/>
                                    <w:r>
                                      <w:t>Asia</w:t>
                                    </w:r>
                                    <w:proofErr w:type="spellEnd"/>
                                    <w:r>
                                      <w:t xml:space="preserve">, </w:t>
                                    </w:r>
                                    <w:proofErr w:type="spellStart"/>
                                    <w:r>
                                      <w:t>Istanbul</w:t>
                                    </w:r>
                                    <w:proofErr w:type="spellEnd"/>
                                    <w:r>
                                      <w:t xml:space="preserve">  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color w:val="003399"/>
                                      </w:rPr>
                                      <w:t> 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br/>
                                    </w:r>
                                    <w:r>
                                      <w:br/>
                                    </w:r>
                                    <w:hyperlink r:id="rId12" w:history="1"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Please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click</w:t>
                                      </w:r>
                                      <w:proofErr w:type="spellEnd"/>
                                      <w:r>
                                        <w:rPr>
                                          <w:rStyle w:val="Kpr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here</w:t>
                                      </w:r>
                                      <w:r>
                                        <w:rPr>
                                          <w:rStyle w:val="Gl"/>
                                          <w:color w:val="48484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for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all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GL Academy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Istanbul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seminars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until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the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end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of 2012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and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 xml:space="preserve"> online </w:t>
                                      </w:r>
                                      <w:proofErr w:type="spellStart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registration</w:t>
                                      </w:r>
                                      <w:proofErr w:type="spellEnd"/>
                                      <w:r>
                                        <w:rPr>
                                          <w:rStyle w:val="Gl"/>
                                          <w:color w:val="006699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486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C14930" w:rsidRDefault="00C14930">
                                    <w:pPr>
                                      <w:spacing w:before="100" w:beforeAutospacing="1" w:after="100" w:afterAutospacing="1"/>
                                      <w:ind w:left="180"/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C14930" w:rsidRDefault="00C14930">
                              <w:pPr>
                                <w:spacing w:after="2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i/>
                                    <w:iCs/>
                                    <w:color w:val="00618C"/>
                                    <w:sz w:val="22"/>
                                    <w:szCs w:val="22"/>
                                    <w:u w:val="single"/>
                                  </w:rPr>
                                  <w:t>Please click here to download the registration form.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invite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contact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us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questions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suggestions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might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have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find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contact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details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below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further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also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refer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4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www.gl-academy.com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looking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forward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welcoming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seminars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C14930" w:rsidRDefault="00C14930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Style w:val="Gl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Kind regards,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Açılay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Gl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Koç</w:t>
                              </w:r>
                              <w:proofErr w:type="spellEnd"/>
                            </w:p>
                            <w:p w:rsidR="00C14930" w:rsidRDefault="00C14930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bdr w:val="single" w:sz="8" w:space="0" w:color="auto" w:frame="1"/>
                                </w:rPr>
                                <w:drawing>
                                  <wp:inline distT="0" distB="0" distL="0" distR="0">
                                    <wp:extent cx="956945" cy="956945"/>
                                    <wp:effectExtent l="0" t="0" r="0" b="0"/>
                                    <wp:docPr id="3" name="Resim 3" descr="Açıklama: Açıklama: Görüntü gönderen tarafından kaldırıldı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 descr="Açıklama: Açıklama: Görüntü gönderen tarafından kaldırıldı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r:link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6945" cy="9569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14930" w:rsidRDefault="00C14930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GL Academy ISTANBUL</w:t>
                              </w:r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t-PT"/>
                                </w:rPr>
                                <w:t xml:space="preserve">Bayar Cad. Sehit M. Fatih Ongul Sk.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t-PT"/>
                                </w:rPr>
                                <w:br/>
                                <w:t xml:space="preserve">Bagdatlioglu Plaza No:3 K:1 D:3  34742 Kozyatagi/Kadikoy/Istanbul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t-PT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t-PT"/>
                                </w:rPr>
                                <w:br/>
                                <w:t>E-mail:</w:t>
                              </w:r>
                              <w:r>
                                <w:rPr>
                                  <w:lang w:val="pt-PT"/>
                                </w:rPr>
                                <w:t xml:space="preserve"> </w:t>
                              </w:r>
                              <w:hyperlink r:id="rId17" w:history="1">
                                <w:r>
                                  <w:rPr>
                                    <w:rStyle w:val="Kpr"/>
                                  </w:rPr>
                                  <w:t>gl-academy-istanbul@gl-group.com</w:t>
                                </w:r>
                              </w:hyperlink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hyperlink r:id="rId18" w:history="1">
                                <w:r>
                                  <w:rPr>
                                    <w:rStyle w:val="Kpr"/>
                                  </w:rPr>
                                  <w:t>acilay.koc@gl-group.com</w:t>
                                </w:r>
                              </w:hyperlink>
                            </w:p>
                            <w:p w:rsidR="00C14930" w:rsidRDefault="00C14930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Tel. No.: +90 216 658 68 60</w:t>
                              </w:r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Fax No.: +90 216 658 68 43</w:t>
                              </w:r>
                            </w:p>
                            <w:p w:rsidR="00C14930" w:rsidRDefault="00C1493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C14930" w:rsidRDefault="00C14930">
                              <w:r>
                                <w:t>  </w:t>
                              </w:r>
                            </w:p>
                          </w:tc>
                        </w:tr>
                      </w:tbl>
                      <w:p w:rsidR="00C14930" w:rsidRDefault="00C1493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4930" w:rsidRDefault="00C1493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1493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8" w:space="0" w:color="8D8D8D"/>
                        </w:tcBorders>
                        <w:shd w:val="clear" w:color="auto" w:fill="CBCBCB"/>
                        <w:vAlign w:val="center"/>
                        <w:hideMark/>
                      </w:tcPr>
                      <w:p w:rsidR="00C14930" w:rsidRDefault="00C14930">
                        <w:pPr>
                          <w:rPr>
                            <w:rFonts w:ascii="Arial" w:hAnsi="Arial" w:cs="Arial"/>
                            <w:color w:val="50505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50505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4930" w:rsidRDefault="00C1493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149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8" w:space="0" w:color="8D8D8D"/>
                          <w:left w:val="nil"/>
                          <w:bottom w:val="nil"/>
                          <w:right w:val="nil"/>
                        </w:tcBorders>
                        <w:shd w:val="clear" w:color="auto" w:fill="CBCBCB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9006"/>
                        </w:tblGrid>
                        <w:tr w:rsidR="00C14930">
                          <w:trPr>
                            <w:tblCellSpacing w:w="0" w:type="dxa"/>
                          </w:trPr>
                          <w:tc>
                            <w:tcPr>
                              <w:tcW w:w="2700" w:type="dxa"/>
                              <w:hideMark/>
                            </w:tcPr>
                            <w:p w:rsidR="00C14930" w:rsidRDefault="00C1493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0190" cy="638175"/>
                                    <wp:effectExtent l="0" t="0" r="3810" b="9525"/>
                                    <wp:docPr id="2" name="Resim 2" descr="Açıklama: Açıklama: cid:ewaf1c7c43cc00269c00000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4" descr="Açıklama: Açıklama: cid:ewaf1c7c43cc00269c00000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r:link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0190" cy="638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14930" w:rsidRDefault="00C14930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GL Academy Update</w:t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 17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August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2012, GL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 Hamburg, Germany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Managing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 xml:space="preserve"> Editor</w:t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Ulrike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Schodrok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 GL Academy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Reproduction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© GL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2011.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Reprint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permitted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explicit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request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Enquiries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GL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, GL Academy,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Brooktorkai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18, 20457 Hamburg, Germany, Phone: +49 (0)40 36149 195,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: +49 (0)40 36149 2900,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Email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: </w:t>
                              </w:r>
                              <w:hyperlink r:id="rId21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academy@gl-group.com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  <w:t>GL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does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not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warrant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guarantee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accuracy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data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provided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GL Academy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infomail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even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though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 GL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making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reasonable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efforts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provide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correct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data.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complete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legal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disclaimer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aforesaid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limitation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liability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click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22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here</w:t>
                                </w:r>
                                <w:r>
                                  <w:rPr>
                                    <w:rStyle w:val="Kpr"/>
                                    <w:rFonts w:ascii="Arial" w:hAnsi="Arial" w:cs="Arial"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  <w:t xml:space="preserve">SUBSCRIPTION SERVICE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subscribing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click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23" w:tgtFrame="_blank" w:history="1"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here</w:t>
                                </w:r>
                                <w:r>
                                  <w:rPr>
                                    <w:rStyle w:val="Kpr"/>
                                    <w:rFonts w:ascii="Arial" w:hAnsi="Arial" w:cs="Arial"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If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no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longer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wish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receive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24" w:tgtFrame="_blank" w:history="1"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00618B"/>
                                    <w:sz w:val="17"/>
                                    <w:szCs w:val="17"/>
                                    <w:u w:val="single"/>
                                  </w:rPr>
                                  <w:t>unsubscribe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Arial" w:hAnsi="Arial" w:cs="Arial"/>
                                  <w:color w:val="555555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C14930" w:rsidRDefault="00C1493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14930" w:rsidRDefault="00C1493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hideMark/>
                </w:tcPr>
                <w:p w:rsidR="00C14930" w:rsidRDefault="00C14930">
                  <w:r>
                    <w:rPr>
                      <w:noProof/>
                    </w:rPr>
                    <w:drawing>
                      <wp:inline distT="0" distB="0" distL="0" distR="0">
                        <wp:extent cx="233680" cy="7878445"/>
                        <wp:effectExtent l="0" t="0" r="0" b="8255"/>
                        <wp:docPr id="1" name="Resim 1" descr="Açıklama: Açıklama: cid:ewaf1c7c43cc00269c0000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5" descr="Açıklama: Açıklama: cid:ewaf1c7c43cc00269c000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7878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14930" w:rsidRDefault="00C149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94398" w:rsidRDefault="00D94398">
      <w:bookmarkStart w:id="0" w:name="_GoBack"/>
      <w:bookmarkEnd w:id="0"/>
    </w:p>
    <w:sectPr w:rsidR="00D9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30"/>
    <w:rsid w:val="00C14930"/>
    <w:rsid w:val="00D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3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14930"/>
    <w:rPr>
      <w:strike w:val="0"/>
      <w:dstrike w:val="0"/>
      <w:color w:val="48484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1493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1493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93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3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14930"/>
    <w:rPr>
      <w:strike w:val="0"/>
      <w:dstrike w:val="0"/>
      <w:color w:val="48484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1493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1493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93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.glacademy.com/goto.php?l=432tcy.p7h1la,u=4f1a2e651bd249c406ad5b9de36f24af,n=3hx0q.cs56i3,art_id=3hx0q.cs56i3" TargetMode="External"/><Relationship Id="rId13" Type="http://schemas.openxmlformats.org/officeDocument/2006/relationships/hyperlink" Target="http://www.news.glacademy.com/art_resource.php?id=3213259,force_download=1" TargetMode="External"/><Relationship Id="rId18" Type="http://schemas.openxmlformats.org/officeDocument/2006/relationships/hyperlink" Target="mailto:acilay.koc@gl-group.com" TargetMode="External"/><Relationship Id="rId26" Type="http://schemas.openxmlformats.org/officeDocument/2006/relationships/image" Target="cid:ewaf1c7c43cc00269c000000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cademy@gl-group.com%3eacademy@gl-group.com%3c/a%3e" TargetMode="External"/><Relationship Id="rId7" Type="http://schemas.openxmlformats.org/officeDocument/2006/relationships/hyperlink" Target="http://www.news.glacademy.com/a.php?sid=3hx0q.cs56i3,f=1,u=4f1a2e651bd249c406ad5b9de36f24af,n=3hx0q.cs56i3,p=1,l=432tcx.1hjor55" TargetMode="External"/><Relationship Id="rId12" Type="http://schemas.openxmlformats.org/officeDocument/2006/relationships/hyperlink" Target="http://www.news.glacademy.com/goto.php?l=432tcv.1sk1r37,u=4f1a2e651bd249c406ad5b9de36f24af,n=3hx0q.cs56i3,art_id=3hx0q.cs56i3" TargetMode="External"/><Relationship Id="rId17" Type="http://schemas.openxmlformats.org/officeDocument/2006/relationships/hyperlink" Target="mailto:gl-academy-istanbul@gl-group.com" TargetMode="External"/><Relationship Id="rId25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image" Target="cid:~WRD197.jpg" TargetMode="External"/><Relationship Id="rId20" Type="http://schemas.openxmlformats.org/officeDocument/2006/relationships/image" Target="cid:ewaf1c7c43cc00269c0000003" TargetMode="External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cid:ewaf1c7c43cc00269c0000001" TargetMode="External"/><Relationship Id="rId11" Type="http://schemas.openxmlformats.org/officeDocument/2006/relationships/hyperlink" Target="http://www.news.glacademy.com/goto.php?l=432tcu.opg16b,u=4f1a2e651bd249c406ad5b9de36f24af,n=3hx0q.cs56i3,art_id=3hx0q.cs56i3" TargetMode="External"/><Relationship Id="rId24" Type="http://schemas.openxmlformats.org/officeDocument/2006/relationships/hyperlink" Target="http://www.news.glacademy.com/delete.php?sid=3hx0q.cs56i3,u=4f1a2e651bd249c406ad5b9de36f24af,n=3hx0q.cs56i3,p=1,l=432td2.1151t4d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://www.news.glacademy.com/goto.php?l=432td1.1fp8arc,u=4f1a2e651bd249c406ad5b9de36f24af,n=3hx0q.cs56i3,art_id=3hx0q.cs56i3" TargetMode="External"/><Relationship Id="rId28" Type="http://schemas.openxmlformats.org/officeDocument/2006/relationships/theme" Target="theme/theme1.xml"/><Relationship Id="rId10" Type="http://schemas.openxmlformats.org/officeDocument/2006/relationships/image" Target="cid:ewaf1c7c43cc00269c0000002" TargetMode="External"/><Relationship Id="rId19" Type="http://schemas.openxmlformats.org/officeDocument/2006/relationships/image" Target="media/image4.gif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ews.glacademy.com/goto.php?l=432tcz.1rl4lpc,u=4f1a2e651bd249c406ad5b9de36f24af,n=3hx0q.cs56i3,art_id=3hx0q.cs56i3" TargetMode="External"/><Relationship Id="rId22" Type="http://schemas.openxmlformats.org/officeDocument/2006/relationships/hyperlink" Target="http://www.news.glacademy.com/goto.php?l=432td0.16pn0es,u=4f1a2e651bd249c406ad5b9de36f24af,n=3hx0q.cs56i3,art_id=3hx0q.cs56i3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60AA2-6BA8-4598-B733-04CC26B3E048}"/>
</file>

<file path=customXml/itemProps2.xml><?xml version="1.0" encoding="utf-8"?>
<ds:datastoreItem xmlns:ds="http://schemas.openxmlformats.org/officeDocument/2006/customXml" ds:itemID="{70A992CC-7E3B-43EA-8FB1-4E2462B81662}"/>
</file>

<file path=customXml/itemProps3.xml><?xml version="1.0" encoding="utf-8"?>
<ds:datastoreItem xmlns:ds="http://schemas.openxmlformats.org/officeDocument/2006/customXml" ds:itemID="{BBF462DB-8309-4DC8-9287-A5074B06D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1</cp:revision>
  <dcterms:created xsi:type="dcterms:W3CDTF">2012-08-17T12:57:00Z</dcterms:created>
  <dcterms:modified xsi:type="dcterms:W3CDTF">2012-08-17T12:58:00Z</dcterms:modified>
</cp:coreProperties>
</file>